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1. HAFTA (08 - 12 Eylül)</w:t>
      </w:r>
    </w:p>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61"/>
        <w:gridCol w:w="3351"/>
        <w:gridCol w:w="1193"/>
        <w:gridCol w:w="3280"/>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SÖZÜN İNCELİĞİ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E1.4. Kendine İnanma (Öz Yeterlilik), E1.5. Kendine Güvenme (Öz Güven), E2.3. Girişkenlik, E3.3. Yaratıcılık, E3.10. Eleştirel Bakma,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D4. Dostluk, D7. Estetik, D16. Sorumluluk, D19. Vatanseverlik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OB1. Bilgi Okuryazarlığı, OB2. Dijital Okuryazarlık, OB9. Sanat Okuryazarlığı</w:t>
            </w:r>
          </w:p>
        </w:tc>
      </w:tr>
      <w:tr>
        <w:tc>
          <w:tcPr>
            <w:tcW w:w="3150" w:type="dxa"/>
            <w:vAlign w:val="center"/>
          </w:tcPr>
          <w:p>
            <w:r>
              <w:rPr>
                <w:b w:val="1"/>
                <w:bCs w:val="1"/>
                <w:sz w:val="16"/>
                <w:szCs w:val="16"/>
              </w:rPr>
              <w:t>Disiplinler Arası İlişki</w:t>
            </w:r>
          </w:p>
        </w:tc>
        <w:tc>
          <w:tcPr>
            <w:tcW w:w="9450" w:type="dxa"/>
            <w:gridSpan w:val="3"/>
            <w:vAlign w:val="center"/>
          </w:tcPr>
          <w:p>
            <w:r>
              <w:rPr>
                <w:sz w:val="16"/>
                <w:szCs w:val="16"/>
              </w:rPr>
              <w:t>Müzik, Resim, Psikoloji, Sosyoloji</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KB2.10. Çıkarım Yapma, KB2.15. Yansıtma, KB2.18. Tartışma, KB3.3. Eleştirel Düşünme</w:t>
            </w:r>
          </w:p>
        </w:tc>
      </w:tr>
      <w:tr>
        <w:tc>
          <w:tcPr>
            <w:tcW w:w="3150" w:type="dxa"/>
            <w:vAlign w:val="center"/>
          </w:tcPr>
          <w:p>
            <w:r>
              <w:rPr>
                <w:b w:val="1"/>
                <w:bCs w:val="1"/>
                <w:sz w:val="16"/>
                <w:szCs w:val="16"/>
              </w:rPr>
              <w:t>Öğrenme Çıktıları ve Süreç Bileşenleri</w:t>
            </w:r>
          </w:p>
        </w:tc>
        <w:tc>
          <w:tcPr>
            <w:tcW w:w="9450" w:type="dxa"/>
            <w:gridSpan w:val="3"/>
            <w:vAlign w:val="center"/>
          </w:tcPr>
          <w:p>
            <w:pPr>
              <w:rPr>
                <w:b w:val="1"/>
                <w:bCs w:val="1"/>
              </w:rPr>
            </w:pPr>
            <w:r>
              <w:rPr>
                <w:b w:val="1"/>
                <w:bCs w:val="1"/>
                <w:sz w:val="16"/>
                <w:szCs w:val="16"/>
              </w:rPr>
              <w:t>TDE2.1. “Sözün İnceliği” temasında ele alınan metinlerde okumayı yönetebilme</w:t>
            </w:r>
          </w:p>
          <w:p>
            <w:r>
              <w:rPr>
                <w:sz w:val="16"/>
                <w:szCs w:val="16"/>
              </w:rPr>
              <w:t>a) TDE2.1.1. İnceler ve görüş oluşturur.</w:t>
            </w:r>
            <w:r>
              <w:rPr>
                <w:sz w:val="16"/>
                <w:szCs w:val="16"/>
              </w:rPr>
              <w:br w:type="textWrapping"/>
            </w:r>
            <w:r>
              <w:rPr>
                <w:sz w:val="16"/>
                <w:szCs w:val="16"/>
              </w:rPr>
              <w:t>• Metni okumaya başlamadan önce okuma amacını belirler.</w:t>
            </w:r>
            <w:r>
              <w:rPr>
                <w:sz w:val="16"/>
                <w:szCs w:val="16"/>
              </w:rPr>
              <w:br w:type="textWrapping"/>
            </w:r>
            <w:r>
              <w:rPr>
                <w:sz w:val="16"/>
                <w:szCs w:val="16"/>
              </w:rPr>
              <w:t>• Okumadan önce metnin içerik ve türüne yönelik tahminlerde bulunur.</w:t>
            </w:r>
            <w:r>
              <w:rPr>
                <w:sz w:val="16"/>
                <w:szCs w:val="16"/>
              </w:rPr>
              <w:br w:type="textWrapping"/>
            </w:r>
            <w:r>
              <w:rPr>
                <w:sz w:val="16"/>
                <w:szCs w:val="16"/>
              </w:rPr>
              <w:t>b) TDE2.1.2. Seçim yapar.</w:t>
            </w:r>
            <w:r>
              <w:rPr>
                <w:sz w:val="16"/>
                <w:szCs w:val="16"/>
              </w:rPr>
              <w:br w:type="textWrapping"/>
            </w:r>
            <w:r>
              <w:rPr>
                <w:sz w:val="16"/>
                <w:szCs w:val="16"/>
              </w:rPr>
              <w:t>• Okuyacağı metin için uygun okuma yöntem ve stratejisi seçer.</w:t>
            </w:r>
            <w:r>
              <w:rPr>
                <w:sz w:val="16"/>
                <w:szCs w:val="16"/>
              </w:rPr>
              <w:br w:type="textWrapping"/>
            </w:r>
            <w:r>
              <w:rPr>
                <w:sz w:val="16"/>
                <w:szCs w:val="16"/>
              </w:rPr>
              <w:t>• Seçtiği okuma stratejisi ile okumayı sürdürür.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OKUMA</w:t>
            </w:r>
          </w:p>
        </w:tc>
      </w:tr>
      <w:tr>
        <w:tc>
          <w:tcPr>
            <w:tcW w:w="3150" w:type="dxa"/>
            <w:vAlign w:val="center"/>
          </w:tcPr>
          <w:p>
            <w:r>
              <w:rPr>
                <w:b w:val="1"/>
                <w:bCs w:val="1"/>
                <w:sz w:val="16"/>
                <w:szCs w:val="16"/>
              </w:rPr>
              <w:t>Öğrenme Kanıtları</w:t>
            </w:r>
          </w:p>
        </w:tc>
        <w:tc>
          <w:tcPr>
            <w:tcW w:w="9450" w:type="dxa"/>
            <w:gridSpan w:val="3"/>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belirlemek için kısa cevaplı sorular, kavram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3150" w:type="dxa"/>
            <w:vAlign w:val="center"/>
          </w:tcPr>
          <w:p>
            <w:r>
              <w:rPr>
                <w:b w:val="1"/>
                <w:bCs w:val="1"/>
                <w:sz w:val="16"/>
                <w:szCs w:val="16"/>
              </w:rPr>
              <w:t>Öğretme Uygulamaları</w:t>
            </w:r>
          </w:p>
        </w:tc>
        <w:tc>
          <w:tcPr>
            <w:tcW w:w="9450" w:type="dxa"/>
            <w:gridSpan w:val="3"/>
            <w:vAlign w:val="center"/>
          </w:tcPr>
          <w:p>
            <w:r>
              <w:rPr>
                <w:sz w:val="16"/>
                <w:szCs w:val="16"/>
              </w:rPr>
              <w:t>* Dikkat çekmek için yakın dönem bir Türk şiiri öğrencilere dinletilir (SDB2.1).</w:t>
            </w:r>
          </w:p>
          <w:p>
            <w:r>
              <w:rPr>
                <w:sz w:val="16"/>
                <w:szCs w:val="16"/>
              </w:rPr>
              <w:t>* Şiirin onlarda oluşturduğu duygu ve aynı duyguyu başka bir metinde hissedip hissetmedikleri sorulur (E1.1, SDB1.1).</w:t>
            </w:r>
          </w:p>
          <w:p>
            <w:r>
              <w:rPr>
                <w:sz w:val="16"/>
                <w:szCs w:val="16"/>
              </w:rPr>
              <w:t>* Daha sonra işlenecek şiirin başlık ve görseline dikkat çekilerek içeriğe yönelik tahminlerde bulunulması istenir (OB9).</w:t>
            </w:r>
          </w:p>
          <w:p>
            <w:r>
              <w:rPr>
                <w:sz w:val="16"/>
                <w:szCs w:val="16"/>
              </w:rPr>
              <w:t>* Tahminler alındıktan sonra vurgu ve tonlamaya dikkat edilerek şiirin sesli okunması sağlanır (SDB2.1).</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50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3516"/>
        <w:gridCol w:w="3684"/>
      </w:tblGrid>
      <w:tr>
        <w:trPr>
          <w:gridBefore w:val="0"/>
        </w:trPr>
        <w:tc>
          <w:tcPr>
            <w:tcW w:w="4690" w:type="dxa"/>
          </w:tcPr>
          <w:p/>
        </w:tc>
        <w:tc>
          <w:tcPr>
            <w:tcW w:w="5095" w:type="dxa"/>
          </w:tcPr>
          <w:p>
            <w:pPr>
              <w:jc w:val="center"/>
            </w:pPr>
            <w:r>
              <w:t>UYGUNDUR</w:t>
            </w:r>
          </w:p>
        </w:tc>
      </w:tr>
      <w:tr>
        <w:trPr>
          <w:gridBefore w:val="0"/>
        </w:trPr>
        <w:tc>
          <w:tcPr>
            <w:tcW w:w="4690" w:type="dxa"/>
          </w:tcPr>
          <w:p>
            <w:r>
              <w:rPr>
                <w:rtl w:val="0"/>
                <w:lang w:val="tr-TR" w:bidi="tr-TR" w:eastAsia="tr-TR"/>
              </w:rPr>
              <w:t>Yusuf Kenan DURMUŞOĞLU</w:t>
            </w:r>
          </w:p>
        </w:tc>
        <w:tc>
          <w:tcPr>
            <w:tcW w:w="5095" w:type="dxa"/>
          </w:tcPr>
          <w:p>
            <w:pPr>
              <w:jc w:val="center"/>
            </w:pPr>
            <w:r>
              <w:t>…../…./2025</w:t>
            </w:r>
          </w:p>
        </w:tc>
      </w:tr>
      <w:tr>
        <w:trPr>
          <w:gridBefore w:val="0"/>
        </w:trPr>
        <w:tc>
          <w:tcPr>
            <w:tcW w:w="4690" w:type="dxa"/>
          </w:tcPr>
          <w:p>
            <w:pPr>
              <w:jc w:val="left"/>
            </w:pPr>
            <w:r>
              <w:rPr>
                <w:b w:val="1"/>
                <w:bCs w:val="1"/>
                <w:rtl w:val="0"/>
                <w:lang w:val="tr-TR" w:bidi="tr-TR" w:eastAsia="tr-TR"/>
              </w:rPr>
              <w:t xml:space="preserve">         </w:t>
            </w:r>
            <w:r>
              <w:rPr>
                <w:b w:val="1"/>
                <w:bCs w:val="1"/>
              </w:rPr>
              <w:t>Ders Öğretmeni</w:t>
            </w:r>
            <w:r>
              <w:rPr>
                <w:b w:val="1"/>
                <w:bCs w:val="1"/>
                <w:rtl w:val="0"/>
                <w:lang w:val="tr-TR" w:bidi="tr-TR" w:eastAsia="tr-TR"/>
              </w:rPr>
              <w:t xml:space="preserve">  </w:t>
            </w:r>
          </w:p>
        </w:tc>
        <w:tc>
          <w:tcPr>
            <w:tcW w:w="5095" w:type="dxa"/>
          </w:tcPr>
          <w:p>
            <w:pPr>
              <w:jc w:val="center"/>
            </w:pPr>
            <w:r>
              <w:t>Muharrem YANARATEŞ</w:t>
            </w:r>
          </w:p>
        </w:tc>
      </w:tr>
      <w:tr>
        <w:trPr>
          <w:gridBefore w:val="0"/>
        </w:trPr>
        <w:tc>
          <w:tcPr>
            <w:tcW w:w="4690" w:type="dxa"/>
          </w:tcPr>
          <w:p>
            <w:pPr>
              <w:jc w:val="left"/>
            </w:pPr>
            <w:r>
              <w:rPr>
                <w:b w:val="1"/>
                <w:bCs w:val="1"/>
                <w:rtl w:val="0"/>
                <w:lang w:val="tr-TR" w:bidi="tr-TR" w:eastAsia="tr-TR"/>
              </w:rPr>
              <w:t xml:space="preserve">                                   </w:t>
            </w:r>
          </w:p>
        </w:tc>
        <w:tc>
          <w:tcPr>
            <w:tcW w:w="5095" w:type="dxa"/>
          </w:tcPr>
          <w:p>
            <w:pPr>
              <w:jc w:val="center"/>
            </w:pPr>
            <w:r>
              <w:rPr>
                <w:b w:val="1"/>
                <w:bCs w:val="1"/>
              </w:rPr>
              <w:t>Okul Müdürü</w:t>
            </w:r>
          </w:p>
        </w:tc>
      </w:tr>
    </w:tbl>
    <w:p/>
    <w:p/>
    <w:p/>
    <w:p/>
    <w:p>
      <w:pPr>
        <w:tabs>
          <w:tab w:val="left" w:pos="7200" w:leader="none"/>
        </w:tabs>
      </w:pPr>
      <w:r>
        <w:tab/>
      </w:r>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2026-01-02T19:36:03Z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2026-01-03T13:55:08Z</dcterms:modified>
  <cp:revision>3</cp:revision>
  <dc:subject>Evraklarınızı otomatik hazırlar.</dc:subject>
  <dc:title>Günlük Plan Hazırlama Modülü - Öğretmen Evrak Uygulaması</dc:title>
</cp:coreProperties>
</file>